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D2E" w:rsidRPr="009605FB" w:rsidRDefault="002F43B8">
      <w:pPr>
        <w:rPr>
          <w:sz w:val="18"/>
          <w:szCs w:val="18"/>
        </w:rPr>
      </w:pPr>
      <w:r w:rsidRPr="009605FB">
        <w:rPr>
          <w:sz w:val="18"/>
          <w:szCs w:val="18"/>
        </w:rPr>
        <w:t>Friends,</w:t>
      </w:r>
    </w:p>
    <w:p w:rsidR="002F43B8" w:rsidRPr="009605FB" w:rsidRDefault="002F43B8">
      <w:pPr>
        <w:rPr>
          <w:sz w:val="18"/>
          <w:szCs w:val="18"/>
        </w:rPr>
      </w:pPr>
      <w:r w:rsidRPr="009605FB">
        <w:rPr>
          <w:sz w:val="18"/>
          <w:szCs w:val="18"/>
        </w:rPr>
        <w:t xml:space="preserve">Topic areas have been a part of the Mile High Swing since its inception. The format of Mile High has traditionally been to have the first half mirror the NPTE (topic areas, MPJ) and the second half </w:t>
      </w:r>
      <w:r w:rsidR="00BC05AE">
        <w:rPr>
          <w:sz w:val="18"/>
          <w:szCs w:val="18"/>
        </w:rPr>
        <w:t xml:space="preserve">to </w:t>
      </w:r>
      <w:r w:rsidRPr="009605FB">
        <w:rPr>
          <w:sz w:val="18"/>
          <w:szCs w:val="18"/>
        </w:rPr>
        <w:t>mirror the NPDA</w:t>
      </w:r>
      <w:r w:rsidR="0027333B">
        <w:rPr>
          <w:sz w:val="18"/>
          <w:szCs w:val="18"/>
        </w:rPr>
        <w:t xml:space="preserve"> (no topic areas, strikes)</w:t>
      </w:r>
      <w:r w:rsidRPr="009605FB">
        <w:rPr>
          <w:sz w:val="18"/>
          <w:szCs w:val="18"/>
        </w:rPr>
        <w:t>. Some recent discussions, both online and in person, have caused us to revisit our format of releasing topic areas.</w:t>
      </w:r>
    </w:p>
    <w:p w:rsidR="002F43B8" w:rsidRPr="009605FB" w:rsidRDefault="002F43B8" w:rsidP="002F43B8">
      <w:pPr>
        <w:rPr>
          <w:sz w:val="18"/>
          <w:szCs w:val="18"/>
        </w:rPr>
      </w:pPr>
      <w:r w:rsidRPr="009605FB">
        <w:rPr>
          <w:sz w:val="18"/>
          <w:szCs w:val="18"/>
        </w:rPr>
        <w:t>If topic areas are to be used (and that is a significant question), I have been focusing on some guiding principles for them. Some of these principles may not be agreed upon by all, but they are a good starting point:</w:t>
      </w:r>
    </w:p>
    <w:p w:rsidR="002F43B8" w:rsidRPr="009605FB" w:rsidRDefault="002F43B8" w:rsidP="002F43B8">
      <w:pPr>
        <w:pStyle w:val="ListParagraph"/>
        <w:numPr>
          <w:ilvl w:val="0"/>
          <w:numId w:val="2"/>
        </w:numPr>
        <w:rPr>
          <w:sz w:val="18"/>
          <w:szCs w:val="18"/>
        </w:rPr>
      </w:pPr>
      <w:r w:rsidRPr="009605FB">
        <w:rPr>
          <w:sz w:val="18"/>
          <w:szCs w:val="18"/>
        </w:rPr>
        <w:t>Topic areas should provide predictable ground for research. While a debater can never be sure that her/his research will b</w:t>
      </w:r>
      <w:r w:rsidR="00CC2D46" w:rsidRPr="009605FB">
        <w:rPr>
          <w:sz w:val="18"/>
          <w:szCs w:val="18"/>
        </w:rPr>
        <w:t>e the subject of a resolution, there should be a good chance that it will.</w:t>
      </w:r>
    </w:p>
    <w:p w:rsidR="00CC2D46" w:rsidRPr="00F46827" w:rsidRDefault="00CC2D46" w:rsidP="00F46827">
      <w:pPr>
        <w:pStyle w:val="ListParagraph"/>
        <w:numPr>
          <w:ilvl w:val="0"/>
          <w:numId w:val="2"/>
        </w:numPr>
        <w:rPr>
          <w:sz w:val="18"/>
          <w:szCs w:val="18"/>
        </w:rPr>
      </w:pPr>
      <w:r w:rsidRPr="009605FB">
        <w:rPr>
          <w:sz w:val="18"/>
          <w:szCs w:val="18"/>
        </w:rPr>
        <w:t>Topic areas should promote research into and the writing of arguments that may be usable at a later date instead of just at the tournament.</w:t>
      </w:r>
      <w:r w:rsidR="00F46827">
        <w:rPr>
          <w:sz w:val="18"/>
          <w:szCs w:val="18"/>
        </w:rPr>
        <w:t xml:space="preserve"> </w:t>
      </w:r>
      <w:r w:rsidRPr="00F46827">
        <w:rPr>
          <w:sz w:val="18"/>
          <w:szCs w:val="18"/>
        </w:rPr>
        <w:t xml:space="preserve">At the same time, topic areas should promote research into perspectives/issues that extend beyond team </w:t>
      </w:r>
      <w:proofErr w:type="spellStart"/>
      <w:r w:rsidRPr="00F46827">
        <w:rPr>
          <w:sz w:val="18"/>
          <w:szCs w:val="18"/>
        </w:rPr>
        <w:t>backfiles</w:t>
      </w:r>
      <w:proofErr w:type="spellEnd"/>
      <w:r w:rsidRPr="00F46827">
        <w:rPr>
          <w:sz w:val="18"/>
          <w:szCs w:val="18"/>
        </w:rPr>
        <w:t>.</w:t>
      </w:r>
      <w:r w:rsidR="007E6426" w:rsidRPr="00F46827">
        <w:rPr>
          <w:sz w:val="18"/>
          <w:szCs w:val="18"/>
        </w:rPr>
        <w:t xml:space="preserve"> It is good to be forced out of a comfort zone.</w:t>
      </w:r>
    </w:p>
    <w:p w:rsidR="00CC2D46" w:rsidRDefault="00CC2D46" w:rsidP="002F43B8">
      <w:pPr>
        <w:pStyle w:val="ListParagraph"/>
        <w:numPr>
          <w:ilvl w:val="0"/>
          <w:numId w:val="2"/>
        </w:numPr>
        <w:rPr>
          <w:sz w:val="18"/>
          <w:szCs w:val="18"/>
        </w:rPr>
      </w:pPr>
      <w:r w:rsidRPr="009605FB">
        <w:rPr>
          <w:sz w:val="18"/>
          <w:szCs w:val="18"/>
        </w:rPr>
        <w:t>Topic areas should be written to ensure that resolutions will be diverse and that rounds are unique</w:t>
      </w:r>
      <w:r w:rsidR="00F46827">
        <w:rPr>
          <w:sz w:val="18"/>
          <w:szCs w:val="18"/>
        </w:rPr>
        <w:t>. However, they should also be constructed so that some arguments may be utilized over multiple resolutions.</w:t>
      </w:r>
    </w:p>
    <w:p w:rsidR="007242BA" w:rsidRPr="009605FB" w:rsidRDefault="007242BA" w:rsidP="002F43B8">
      <w:pPr>
        <w:pStyle w:val="ListParagraph"/>
        <w:numPr>
          <w:ilvl w:val="0"/>
          <w:numId w:val="2"/>
        </w:numPr>
        <w:rPr>
          <w:sz w:val="18"/>
          <w:szCs w:val="18"/>
        </w:rPr>
      </w:pPr>
      <w:r>
        <w:rPr>
          <w:sz w:val="18"/>
          <w:szCs w:val="18"/>
        </w:rPr>
        <w:t>Topic areas should be accessible (and should be grounded) in literature.</w:t>
      </w:r>
    </w:p>
    <w:p w:rsidR="00CC2D46" w:rsidRPr="009605FB" w:rsidRDefault="00CC2D46" w:rsidP="002F43B8">
      <w:pPr>
        <w:pStyle w:val="ListParagraph"/>
        <w:numPr>
          <w:ilvl w:val="0"/>
          <w:numId w:val="2"/>
        </w:numPr>
        <w:rPr>
          <w:sz w:val="18"/>
          <w:szCs w:val="18"/>
        </w:rPr>
      </w:pPr>
      <w:r w:rsidRPr="009605FB">
        <w:rPr>
          <w:sz w:val="18"/>
          <w:szCs w:val="18"/>
        </w:rPr>
        <w:t>Topic areas should still have some element of currency or timeliness to them but should be general enough so that a change in governmental policy does not render the</w:t>
      </w:r>
      <w:r w:rsidR="0027333B">
        <w:rPr>
          <w:sz w:val="18"/>
          <w:szCs w:val="18"/>
        </w:rPr>
        <w:t xml:space="preserve"> entire</w:t>
      </w:r>
      <w:r w:rsidRPr="009605FB">
        <w:rPr>
          <w:sz w:val="18"/>
          <w:szCs w:val="18"/>
        </w:rPr>
        <w:t xml:space="preserve"> topic area moot.</w:t>
      </w:r>
    </w:p>
    <w:p w:rsidR="00CC2D46" w:rsidRPr="009605FB" w:rsidRDefault="00F46827" w:rsidP="002F43B8">
      <w:pPr>
        <w:pStyle w:val="ListParagraph"/>
        <w:numPr>
          <w:ilvl w:val="0"/>
          <w:numId w:val="2"/>
        </w:numPr>
        <w:rPr>
          <w:sz w:val="18"/>
          <w:szCs w:val="18"/>
        </w:rPr>
      </w:pPr>
      <w:r>
        <w:rPr>
          <w:sz w:val="18"/>
          <w:szCs w:val="18"/>
        </w:rPr>
        <w:t xml:space="preserve">Topic area writers </w:t>
      </w:r>
      <w:r w:rsidR="00CC2D46" w:rsidRPr="009605FB">
        <w:rPr>
          <w:sz w:val="18"/>
          <w:szCs w:val="18"/>
        </w:rPr>
        <w:t>should recognize that debaters have lives.</w:t>
      </w:r>
    </w:p>
    <w:p w:rsidR="00CC2D46" w:rsidRPr="009605FB" w:rsidRDefault="00CC2D46" w:rsidP="00CC2D46">
      <w:pPr>
        <w:rPr>
          <w:sz w:val="18"/>
          <w:szCs w:val="18"/>
        </w:rPr>
      </w:pPr>
      <w:r w:rsidRPr="009605FB">
        <w:rPr>
          <w:sz w:val="18"/>
          <w:szCs w:val="18"/>
        </w:rPr>
        <w:t>These principles are not always easy to reconcile, and in constructing this year’s topic areas for the Mile High, I found that many of the</w:t>
      </w:r>
      <w:r w:rsidR="00E144FA">
        <w:rPr>
          <w:sz w:val="18"/>
          <w:szCs w:val="18"/>
        </w:rPr>
        <w:t xml:space="preserve"> potential</w:t>
      </w:r>
      <w:r w:rsidRPr="009605FB">
        <w:rPr>
          <w:sz w:val="18"/>
          <w:szCs w:val="18"/>
        </w:rPr>
        <w:t xml:space="preserve"> topic areas I researched failed to meet some of these criteria. The topic area for this year’s tournament may also fail in this regard, though I believe it comes closer than we have in the past. </w:t>
      </w:r>
    </w:p>
    <w:p w:rsidR="00CC2D46" w:rsidRPr="009605FB" w:rsidRDefault="00CC2D46" w:rsidP="00CC2D46">
      <w:pPr>
        <w:rPr>
          <w:sz w:val="18"/>
          <w:szCs w:val="18"/>
        </w:rPr>
      </w:pPr>
      <w:r w:rsidRPr="009605FB">
        <w:rPr>
          <w:sz w:val="18"/>
          <w:szCs w:val="18"/>
        </w:rPr>
        <w:t xml:space="preserve">Yes, </w:t>
      </w:r>
      <w:r w:rsidR="0060210D">
        <w:rPr>
          <w:sz w:val="18"/>
          <w:szCs w:val="18"/>
        </w:rPr>
        <w:t xml:space="preserve">one </w:t>
      </w:r>
      <w:r w:rsidRPr="009605FB">
        <w:rPr>
          <w:sz w:val="18"/>
          <w:szCs w:val="18"/>
        </w:rPr>
        <w:t xml:space="preserve">topic area. </w:t>
      </w:r>
      <w:r w:rsidR="00E144FA">
        <w:rPr>
          <w:sz w:val="18"/>
          <w:szCs w:val="18"/>
        </w:rPr>
        <w:t>We are deviating from the invitation</w:t>
      </w:r>
      <w:r w:rsidRPr="009605FB">
        <w:rPr>
          <w:sz w:val="18"/>
          <w:szCs w:val="18"/>
        </w:rPr>
        <w:t>’s stated four topic are</w:t>
      </w:r>
      <w:r w:rsidR="001F7476">
        <w:rPr>
          <w:sz w:val="18"/>
          <w:szCs w:val="18"/>
        </w:rPr>
        <w:t>as to instead utilize one much larger</w:t>
      </w:r>
      <w:r w:rsidRPr="009605FB">
        <w:rPr>
          <w:sz w:val="18"/>
          <w:szCs w:val="18"/>
        </w:rPr>
        <w:t xml:space="preserve"> and more diverse topic area for debates at the 1</w:t>
      </w:r>
      <w:r w:rsidRPr="009605FB">
        <w:rPr>
          <w:sz w:val="18"/>
          <w:szCs w:val="18"/>
          <w:vertAlign w:val="superscript"/>
        </w:rPr>
        <w:t>st</w:t>
      </w:r>
      <w:r w:rsidRPr="009605FB">
        <w:rPr>
          <w:sz w:val="18"/>
          <w:szCs w:val="18"/>
        </w:rPr>
        <w:t xml:space="preserve"> half of the </w:t>
      </w:r>
      <w:r w:rsidR="009605FB" w:rsidRPr="009605FB">
        <w:rPr>
          <w:sz w:val="18"/>
          <w:szCs w:val="18"/>
        </w:rPr>
        <w:t>swing. We will follow u</w:t>
      </w:r>
      <w:r w:rsidR="001F7476">
        <w:rPr>
          <w:sz w:val="18"/>
          <w:szCs w:val="18"/>
        </w:rPr>
        <w:t>p</w:t>
      </w:r>
      <w:r w:rsidR="009605FB" w:rsidRPr="009605FB">
        <w:rPr>
          <w:sz w:val="18"/>
          <w:szCs w:val="18"/>
        </w:rPr>
        <w:t xml:space="preserve"> after the swing with coaches and students to see if this approach better achieves the principles stated above than current topic area practice.</w:t>
      </w:r>
    </w:p>
    <w:p w:rsidR="00067B1C" w:rsidRPr="00067B1C" w:rsidRDefault="00067B1C" w:rsidP="00CC2D46">
      <w:pPr>
        <w:rPr>
          <w:sz w:val="18"/>
          <w:szCs w:val="18"/>
        </w:rPr>
      </w:pPr>
      <w:r>
        <w:rPr>
          <w:sz w:val="18"/>
          <w:szCs w:val="18"/>
        </w:rPr>
        <w:t>The topic area:</w:t>
      </w:r>
    </w:p>
    <w:p w:rsidR="009605FB" w:rsidRPr="009605FB" w:rsidRDefault="009605FB" w:rsidP="00CC2D46">
      <w:pPr>
        <w:rPr>
          <w:b/>
          <w:sz w:val="18"/>
          <w:szCs w:val="18"/>
        </w:rPr>
      </w:pPr>
      <w:r w:rsidRPr="009605FB">
        <w:rPr>
          <w:b/>
          <w:sz w:val="18"/>
          <w:szCs w:val="18"/>
        </w:rPr>
        <w:t>The United States Federal Government should enact into law one or more policies recommended in the Report of the National Commission on Fiscal Responsibility and Reform. (</w:t>
      </w:r>
      <w:hyperlink r:id="rId5" w:tgtFrame="_blank" w:history="1">
        <w:r w:rsidRPr="009605FB">
          <w:rPr>
            <w:rStyle w:val="Hyperlink"/>
            <w:b/>
            <w:sz w:val="18"/>
            <w:szCs w:val="18"/>
          </w:rPr>
          <w:t>http://www.fiscalcommission.gov/sites/fiscalcommission.gov/files/documents/TheMomentofTruth12_1_2010.pdf</w:t>
        </w:r>
      </w:hyperlink>
      <w:r w:rsidRPr="009605FB">
        <w:rPr>
          <w:b/>
          <w:sz w:val="18"/>
          <w:szCs w:val="18"/>
        </w:rPr>
        <w:t>)</w:t>
      </w:r>
    </w:p>
    <w:p w:rsidR="001F37BE" w:rsidRDefault="001F37BE" w:rsidP="00CC2D46">
      <w:pPr>
        <w:rPr>
          <w:sz w:val="18"/>
          <w:szCs w:val="18"/>
        </w:rPr>
      </w:pPr>
      <w:r>
        <w:rPr>
          <w:sz w:val="18"/>
          <w:szCs w:val="18"/>
        </w:rPr>
        <w:t>We recommend that you read the entire document. However, for purposes of this tournament, special attention should be paid to:</w:t>
      </w:r>
    </w:p>
    <w:p w:rsidR="001F37BE" w:rsidRPr="00BC05AE" w:rsidRDefault="001F37BE" w:rsidP="00CC2D46">
      <w:pPr>
        <w:rPr>
          <w:b/>
          <w:sz w:val="18"/>
          <w:szCs w:val="18"/>
        </w:rPr>
      </w:pPr>
      <w:r>
        <w:rPr>
          <w:sz w:val="18"/>
          <w:szCs w:val="18"/>
        </w:rPr>
        <w:tab/>
      </w:r>
      <w:r w:rsidRPr="00BC05AE">
        <w:rPr>
          <w:b/>
          <w:sz w:val="18"/>
          <w:szCs w:val="18"/>
        </w:rPr>
        <w:t>Recommendation</w:t>
      </w:r>
      <w:r w:rsidR="00BC05AE">
        <w:rPr>
          <w:b/>
          <w:sz w:val="18"/>
          <w:szCs w:val="18"/>
        </w:rPr>
        <w:t>s</w:t>
      </w:r>
      <w:r w:rsidRPr="00BC05AE">
        <w:rPr>
          <w:b/>
          <w:sz w:val="18"/>
          <w:szCs w:val="18"/>
        </w:rPr>
        <w:t xml:space="preserve"> 1.2; 1.4; 1.5; 1.7; 2.1; 2.2; 3.1; 3.3.12; 4.2; 4.3; 4.5; 4.6; 4.10; 5.1; 5.6; 5.7</w:t>
      </w:r>
    </w:p>
    <w:p w:rsidR="009605FB" w:rsidRDefault="009605FB" w:rsidP="00CC2D46">
      <w:pPr>
        <w:rPr>
          <w:sz w:val="18"/>
          <w:szCs w:val="18"/>
        </w:rPr>
      </w:pPr>
      <w:r w:rsidRPr="009605FB">
        <w:rPr>
          <w:sz w:val="18"/>
          <w:szCs w:val="18"/>
        </w:rPr>
        <w:t xml:space="preserve">One small clarification to be made here: Often the specific policy proposed by the Commission appears </w:t>
      </w:r>
      <w:r w:rsidR="00BC05AE">
        <w:rPr>
          <w:sz w:val="18"/>
          <w:szCs w:val="18"/>
        </w:rPr>
        <w:t xml:space="preserve">in the text </w:t>
      </w:r>
      <w:r w:rsidRPr="009605FB">
        <w:rPr>
          <w:sz w:val="18"/>
          <w:szCs w:val="18"/>
        </w:rPr>
        <w:t xml:space="preserve">below the bold-face “recommendation”. Any policy proposed by the Commission, whether in bold-face or not, may be utilized for a resolution. </w:t>
      </w:r>
      <w:r>
        <w:rPr>
          <w:sz w:val="18"/>
          <w:szCs w:val="18"/>
        </w:rPr>
        <w:t>Our policy as a tournament is not to clarify beyond the topic area itself, but I wanted to pre-</w:t>
      </w:r>
      <w:proofErr w:type="spellStart"/>
      <w:r>
        <w:rPr>
          <w:sz w:val="18"/>
          <w:szCs w:val="18"/>
        </w:rPr>
        <w:t>emptively</w:t>
      </w:r>
      <w:proofErr w:type="spellEnd"/>
      <w:r>
        <w:rPr>
          <w:sz w:val="18"/>
          <w:szCs w:val="18"/>
        </w:rPr>
        <w:t xml:space="preserve"> do so in this case just to be clear.</w:t>
      </w:r>
    </w:p>
    <w:p w:rsidR="00067B1C" w:rsidRDefault="00067B1C" w:rsidP="00CC2D46">
      <w:pPr>
        <w:rPr>
          <w:sz w:val="18"/>
          <w:szCs w:val="18"/>
        </w:rPr>
      </w:pPr>
      <w:r>
        <w:rPr>
          <w:sz w:val="18"/>
          <w:szCs w:val="18"/>
        </w:rPr>
        <w:t>We look forward to seeing you in Bellingham in just over a month!</w:t>
      </w:r>
    </w:p>
    <w:p w:rsidR="001F7476" w:rsidRPr="009605FB" w:rsidRDefault="001F7476" w:rsidP="00CC2D46">
      <w:pPr>
        <w:rPr>
          <w:sz w:val="18"/>
          <w:szCs w:val="18"/>
        </w:rPr>
      </w:pPr>
    </w:p>
    <w:sectPr w:rsidR="001F7476" w:rsidRPr="009605FB" w:rsidSect="00E474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509BD"/>
    <w:multiLevelType w:val="hybridMultilevel"/>
    <w:tmpl w:val="69F67174"/>
    <w:lvl w:ilvl="0" w:tplc="0A30498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ED64D1"/>
    <w:multiLevelType w:val="hybridMultilevel"/>
    <w:tmpl w:val="1994CC48"/>
    <w:lvl w:ilvl="0" w:tplc="0BFE774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20"/>
  <w:characterSpacingControl w:val="doNotCompress"/>
  <w:compat/>
  <w:rsids>
    <w:rsidRoot w:val="002F43B8"/>
    <w:rsid w:val="00067B1C"/>
    <w:rsid w:val="001F37BE"/>
    <w:rsid w:val="001F7476"/>
    <w:rsid w:val="0027333B"/>
    <w:rsid w:val="002F43B8"/>
    <w:rsid w:val="0060210D"/>
    <w:rsid w:val="007242BA"/>
    <w:rsid w:val="007A605B"/>
    <w:rsid w:val="007E6426"/>
    <w:rsid w:val="009605FB"/>
    <w:rsid w:val="00BC05AE"/>
    <w:rsid w:val="00CC2D46"/>
    <w:rsid w:val="00DD4DCC"/>
    <w:rsid w:val="00E144FA"/>
    <w:rsid w:val="00E4747C"/>
    <w:rsid w:val="00F468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4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3B8"/>
    <w:pPr>
      <w:ind w:left="720"/>
      <w:contextualSpacing/>
    </w:pPr>
  </w:style>
  <w:style w:type="character" w:styleId="Hyperlink">
    <w:name w:val="Hyperlink"/>
    <w:basedOn w:val="DefaultParagraphFont"/>
    <w:uiPriority w:val="99"/>
    <w:semiHidden/>
    <w:unhideWhenUsed/>
    <w:rsid w:val="009605FB"/>
    <w:rPr>
      <w:color w:val="0000FF"/>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iscalcommission.gov/sites/fiscalcommission.gov/files/documents/TheMomentofTruth12_1_2010.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jgantt</dc:creator>
  <cp:lastModifiedBy>jgantt</cp:lastModifiedBy>
  <cp:revision>1</cp:revision>
  <dcterms:created xsi:type="dcterms:W3CDTF">2011-12-13T01:45:00Z</dcterms:created>
  <dcterms:modified xsi:type="dcterms:W3CDTF">2011-12-13T04:10:00Z</dcterms:modified>
</cp:coreProperties>
</file>